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812"/>
        <w:gridCol w:w="3533"/>
      </w:tblGrid>
      <w:tr w:rsidR="00E240EE" w:rsidTr="00415C7C">
        <w:tc>
          <w:tcPr>
            <w:tcW w:w="5812" w:type="dxa"/>
            <w:shd w:val="clear" w:color="auto" w:fill="auto"/>
          </w:tcPr>
          <w:p w:rsidR="00E240EE" w:rsidRDefault="00E240EE" w:rsidP="00415C7C">
            <w:pPr>
              <w:jc w:val="right"/>
            </w:pPr>
          </w:p>
        </w:tc>
        <w:tc>
          <w:tcPr>
            <w:tcW w:w="3533" w:type="dxa"/>
            <w:shd w:val="clear" w:color="auto" w:fill="auto"/>
          </w:tcPr>
          <w:p w:rsidR="00E240EE" w:rsidRDefault="00E240EE" w:rsidP="00415C7C">
            <w:r>
              <w:t xml:space="preserve">           </w:t>
            </w:r>
          </w:p>
        </w:tc>
      </w:tr>
    </w:tbl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Cs/>
        </w:rPr>
      </w:pPr>
      <w:r w:rsidRPr="00415C7C">
        <w:rPr>
          <w:rFonts w:eastAsia="Calibri"/>
          <w:bCs/>
        </w:rPr>
        <w:t xml:space="preserve">Приложение </w:t>
      </w:r>
      <w:proofErr w:type="gramStart"/>
      <w:r w:rsidRPr="00415C7C">
        <w:rPr>
          <w:rFonts w:eastAsia="Calibri"/>
          <w:bCs/>
        </w:rPr>
        <w:t>к</w:t>
      </w:r>
      <w:proofErr w:type="gramEnd"/>
      <w:r w:rsidRPr="00415C7C">
        <w:rPr>
          <w:rFonts w:eastAsia="Calibri"/>
          <w:bCs/>
        </w:rPr>
        <w:t xml:space="preserve">                                                                                  УТВЕРЖДАЮ</w:t>
      </w: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Cs/>
        </w:rPr>
      </w:pPr>
      <w:r w:rsidRPr="00415C7C">
        <w:rPr>
          <w:rFonts w:eastAsia="Calibri"/>
          <w:bCs/>
        </w:rPr>
        <w:t>Основной образовательной программе                             Директор МБОУ «СОШ № 33»</w:t>
      </w: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Cs/>
        </w:rPr>
      </w:pPr>
      <w:r>
        <w:rPr>
          <w:rFonts w:eastAsia="Calibri"/>
          <w:bCs/>
        </w:rPr>
        <w:t>среднего</w:t>
      </w:r>
      <w:r w:rsidRPr="00415C7C">
        <w:rPr>
          <w:rFonts w:eastAsia="Calibri"/>
          <w:bCs/>
        </w:rPr>
        <w:t xml:space="preserve"> общего образования                                         </w:t>
      </w:r>
      <w:r>
        <w:rPr>
          <w:rFonts w:eastAsia="Calibri"/>
          <w:bCs/>
        </w:rPr>
        <w:t xml:space="preserve">    </w:t>
      </w:r>
      <w:proofErr w:type="gramStart"/>
      <w:r w:rsidRPr="00415C7C">
        <w:rPr>
          <w:rFonts w:eastAsia="Calibri"/>
          <w:bCs/>
        </w:rPr>
        <w:t>г</w:t>
      </w:r>
      <w:proofErr w:type="gramEnd"/>
      <w:r w:rsidRPr="00415C7C">
        <w:rPr>
          <w:rFonts w:eastAsia="Calibri"/>
          <w:bCs/>
        </w:rPr>
        <w:t>. Чебоксары</w:t>
      </w: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Cs/>
        </w:rPr>
      </w:pPr>
      <w:r w:rsidRPr="00415C7C">
        <w:rPr>
          <w:rFonts w:eastAsia="Calibri"/>
          <w:bCs/>
        </w:rPr>
        <w:t>МБОУ «СОШ № 33» г. Чебоксары                                     ________________Л.В.Григорьева</w:t>
      </w: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Cs/>
        </w:rPr>
      </w:pPr>
      <w:r w:rsidRPr="00415C7C">
        <w:rPr>
          <w:rFonts w:eastAsia="Calibri"/>
          <w:b/>
          <w:bCs/>
        </w:rPr>
        <w:t xml:space="preserve">                                                                                                 </w:t>
      </w:r>
      <w:r w:rsidRPr="00415C7C">
        <w:rPr>
          <w:rFonts w:eastAsia="Calibri"/>
          <w:bCs/>
        </w:rPr>
        <w:t xml:space="preserve">Приказ </w:t>
      </w:r>
      <w:r w:rsidR="009855DD" w:rsidRPr="00415C7C">
        <w:rPr>
          <w:rFonts w:eastAsia="Calibri"/>
          <w:bCs/>
        </w:rPr>
        <w:t>№</w:t>
      </w:r>
      <w:r w:rsidR="009855DD">
        <w:rPr>
          <w:rFonts w:eastAsia="Calibri"/>
          <w:bCs/>
        </w:rPr>
        <w:t xml:space="preserve"> 246-о</w:t>
      </w:r>
      <w:r w:rsidR="009855DD" w:rsidRPr="00415C7C">
        <w:rPr>
          <w:rFonts w:eastAsia="Calibri"/>
          <w:bCs/>
        </w:rPr>
        <w:t xml:space="preserve"> </w:t>
      </w:r>
      <w:r w:rsidRPr="00415C7C">
        <w:rPr>
          <w:rFonts w:eastAsia="Calibri"/>
          <w:bCs/>
        </w:rPr>
        <w:t xml:space="preserve">от </w:t>
      </w:r>
      <w:r w:rsidR="008C793D">
        <w:rPr>
          <w:rFonts w:eastAsia="Calibri"/>
          <w:bCs/>
        </w:rPr>
        <w:t>01</w:t>
      </w:r>
      <w:r w:rsidRPr="00415C7C">
        <w:rPr>
          <w:rFonts w:eastAsia="Calibri"/>
          <w:bCs/>
        </w:rPr>
        <w:t>.0</w:t>
      </w:r>
      <w:r w:rsidR="008C793D">
        <w:rPr>
          <w:rFonts w:eastAsia="Calibri"/>
          <w:bCs/>
        </w:rPr>
        <w:t>6</w:t>
      </w:r>
      <w:r w:rsidRPr="00415C7C">
        <w:rPr>
          <w:rFonts w:eastAsia="Calibri"/>
          <w:bCs/>
        </w:rPr>
        <w:t xml:space="preserve">.2020г. </w:t>
      </w: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  <w:r w:rsidRPr="00415C7C">
        <w:rPr>
          <w:rFonts w:eastAsia="Calibri"/>
          <w:b/>
          <w:bCs/>
        </w:rPr>
        <w:t>УЧЕБНЫЙ ПЛАН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среднего</w:t>
      </w:r>
      <w:r w:rsidRPr="00415C7C">
        <w:rPr>
          <w:rFonts w:eastAsia="Calibri"/>
          <w:b/>
          <w:bCs/>
        </w:rPr>
        <w:t xml:space="preserve"> общего образования (</w:t>
      </w:r>
      <w:r>
        <w:rPr>
          <w:rFonts w:eastAsia="Calibri"/>
          <w:b/>
          <w:bCs/>
        </w:rPr>
        <w:t>по ФКГОС</w:t>
      </w:r>
      <w:r w:rsidRPr="00415C7C">
        <w:rPr>
          <w:rFonts w:eastAsia="Calibri"/>
          <w:b/>
          <w:bCs/>
        </w:rPr>
        <w:t>)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>муниципального бюджетного общеобразовательного учреждения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 xml:space="preserve">«Средняя общеобразовательная школа № 33 имени Героя России сержанта Н.В.Смирнова» города Чебоксары Чувашской Республики 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>на 2020-2021 учебный год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  <w:r w:rsidRPr="00415C7C">
        <w:rPr>
          <w:rFonts w:eastAsia="Calibri"/>
          <w:b/>
          <w:bCs/>
        </w:rPr>
        <w:t xml:space="preserve">               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  <w:r w:rsidRPr="00415C7C">
        <w:rPr>
          <w:rFonts w:eastAsia="Calibri"/>
          <w:b/>
          <w:bCs/>
        </w:rPr>
        <w:t xml:space="preserve">                                                                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/>
          <w:bCs/>
        </w:rPr>
      </w:pPr>
      <w:r w:rsidRPr="00415C7C">
        <w:rPr>
          <w:rFonts w:eastAsia="Calibri"/>
          <w:b/>
          <w:bCs/>
        </w:rPr>
        <w:t xml:space="preserve">                                                 Рассмотрен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 xml:space="preserve">                                                                                            на заседании педагогического совета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 xml:space="preserve">                                                                                       МБОУ «СОШ № 33» г. Чебоксары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 xml:space="preserve">                                                                               протокол от 29.05.2020г. № 6</w:t>
      </w:r>
    </w:p>
    <w:p w:rsidR="00415C7C" w:rsidRPr="00415C7C" w:rsidRDefault="00415C7C" w:rsidP="00415C7C">
      <w:pPr>
        <w:tabs>
          <w:tab w:val="left" w:pos="5249"/>
        </w:tabs>
        <w:jc w:val="center"/>
        <w:rPr>
          <w:rFonts w:eastAsia="Calibri"/>
          <w:bCs/>
        </w:rPr>
      </w:pPr>
      <w:r w:rsidRPr="00415C7C">
        <w:rPr>
          <w:rFonts w:eastAsia="Calibri"/>
          <w:bCs/>
        </w:rPr>
        <w:t xml:space="preserve">                                                                                           Директор _________Л.В.Григорьева</w:t>
      </w:r>
    </w:p>
    <w:p w:rsidR="00415C7C" w:rsidRPr="00415C7C" w:rsidRDefault="00415C7C" w:rsidP="00415C7C">
      <w:pPr>
        <w:tabs>
          <w:tab w:val="left" w:pos="5249"/>
        </w:tabs>
        <w:jc w:val="both"/>
        <w:rPr>
          <w:rFonts w:eastAsia="Calibri"/>
          <w:b/>
          <w:bCs/>
        </w:rPr>
      </w:pPr>
    </w:p>
    <w:p w:rsidR="00E240EE" w:rsidRDefault="00E240EE" w:rsidP="00E240EE">
      <w:pPr>
        <w:ind w:firstLine="709"/>
        <w:jc w:val="both"/>
        <w:rPr>
          <w:b/>
        </w:rPr>
      </w:pPr>
    </w:p>
    <w:p w:rsidR="00415C7C" w:rsidRDefault="00415C7C" w:rsidP="00E240EE">
      <w:pPr>
        <w:ind w:firstLine="709"/>
        <w:jc w:val="both"/>
        <w:rPr>
          <w:b/>
        </w:rPr>
      </w:pPr>
    </w:p>
    <w:p w:rsidR="00415C7C" w:rsidRDefault="00415C7C" w:rsidP="00E240EE">
      <w:pPr>
        <w:ind w:firstLine="709"/>
        <w:jc w:val="both"/>
        <w:rPr>
          <w:b/>
        </w:rPr>
      </w:pPr>
    </w:p>
    <w:p w:rsidR="00E240EE" w:rsidRDefault="008C793D" w:rsidP="00E240EE">
      <w:pPr>
        <w:ind w:firstLine="709"/>
        <w:jc w:val="center"/>
        <w:rPr>
          <w:b/>
        </w:rPr>
      </w:pPr>
      <w:r>
        <w:rPr>
          <w:b/>
        </w:rPr>
        <w:lastRenderedPageBreak/>
        <w:t>Учебный план 11 класса</w:t>
      </w:r>
      <w:r w:rsidR="00E240EE" w:rsidRPr="00873218">
        <w:rPr>
          <w:b/>
        </w:rPr>
        <w:t xml:space="preserve"> МБОУ «СОШ №33» г. Чебоксары </w:t>
      </w:r>
    </w:p>
    <w:p w:rsidR="00E240EE" w:rsidRPr="00873218" w:rsidRDefault="00E240EE" w:rsidP="00E240EE">
      <w:pPr>
        <w:ind w:firstLine="709"/>
        <w:jc w:val="center"/>
        <w:rPr>
          <w:b/>
        </w:rPr>
      </w:pPr>
      <w:r w:rsidRPr="00873218">
        <w:rPr>
          <w:b/>
        </w:rPr>
        <w:t>на</w:t>
      </w:r>
      <w:r w:rsidR="00CB3437">
        <w:rPr>
          <w:b/>
        </w:rPr>
        <w:t xml:space="preserve"> 2020-2021</w:t>
      </w:r>
      <w:r w:rsidRPr="00873218">
        <w:rPr>
          <w:b/>
        </w:rPr>
        <w:t xml:space="preserve"> учебный год.</w:t>
      </w:r>
    </w:p>
    <w:p w:rsidR="00E240EE" w:rsidRPr="00873218" w:rsidRDefault="008C793D" w:rsidP="00E240EE">
      <w:pPr>
        <w:ind w:firstLine="709"/>
        <w:jc w:val="both"/>
      </w:pPr>
      <w:r>
        <w:t xml:space="preserve">Учебный план </w:t>
      </w:r>
      <w:r w:rsidR="00E240EE" w:rsidRPr="00873218">
        <w:t>11 класс</w:t>
      </w:r>
      <w:r>
        <w:t>а</w:t>
      </w:r>
      <w:r w:rsidR="00E240EE" w:rsidRPr="00873218">
        <w:t xml:space="preserve"> МБОУ «СОШ №33» г. Чебоксары разработан в соответствии с законом Российской Федерации «Об образовании в Российской Ф</w:t>
      </w:r>
      <w:r w:rsidR="00CB3437">
        <w:t>едерации» от 29.12.2012 № 273-ФЗ</w:t>
      </w:r>
      <w:r w:rsidR="00E240EE" w:rsidRPr="00873218">
        <w:t xml:space="preserve"> и законом Чувашской Республики «Об образовании в Чувашской Республике» от 30 июля </w:t>
      </w:r>
      <w:smartTag w:uri="urn:schemas-microsoft-com:office:smarttags" w:element="metricconverter">
        <w:smartTagPr>
          <w:attr w:name="ProductID" w:val="2013 г"/>
        </w:smartTagPr>
        <w:r w:rsidR="00E240EE" w:rsidRPr="00873218">
          <w:t>2013 г</w:t>
        </w:r>
      </w:smartTag>
      <w:r w:rsidR="00E240EE" w:rsidRPr="00873218">
        <w:t xml:space="preserve">. № 50, 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образования», утвержденного Приказом Минобрнауки России от 30.08.2013 </w:t>
      </w:r>
      <w:r w:rsidR="00E240EE" w:rsidRPr="00873218">
        <w:rPr>
          <w:bCs/>
        </w:rPr>
        <w:t>№</w:t>
      </w:r>
      <w:r w:rsidR="00E240EE" w:rsidRPr="00873218">
        <w:t xml:space="preserve"> 1015, на основе Федерального базисного учебного плана и примерных учебных планов образовательных учреждений Российской Федерации, реализующих программы общего образования, утвержденного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E240EE" w:rsidRPr="00873218">
          <w:t>2004 г</w:t>
        </w:r>
      </w:smartTag>
      <w:r w:rsidR="00E240EE" w:rsidRPr="00873218">
        <w:t>. № 1312 (с изменениями), приказом Министерства образования и молодежной политики Чувашской Республики от 10.06.2005 г. № 473 «Об утверждении Базисного учебного плана общеобразовательных учреждений Чувашской Республики» (с изменениями), приказом Минобрнауки России от 05.03.2004 №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образования", а также введённых в действие с 01.09.2011 г. Санитарно-эпидемиологических правил и нормативов СанПиН 2.4.2.2821-10 «Санитарно- эпидемиологические требования к условиям и организации обучения в общеобразовательных учреждениях».</w:t>
      </w:r>
    </w:p>
    <w:p w:rsidR="00E240EE" w:rsidRPr="00873218" w:rsidRDefault="00E240EE" w:rsidP="00E240EE">
      <w:pPr>
        <w:ind w:firstLine="709"/>
        <w:jc w:val="both"/>
      </w:pPr>
      <w:r w:rsidRPr="00873218">
        <w:t>Основная задача школы: подготовка учащихся к осознанному профессиональному самоопределению в рамках дифференцированного обучения и гуманного достижения жизненных целей.</w:t>
      </w:r>
    </w:p>
    <w:p w:rsidR="00E240EE" w:rsidRPr="00873218" w:rsidRDefault="00E240EE" w:rsidP="00E240EE">
      <w:pPr>
        <w:ind w:firstLine="709"/>
        <w:jc w:val="both"/>
      </w:pPr>
      <w:r w:rsidRPr="00873218">
        <w:t xml:space="preserve">Реализация идей </w:t>
      </w:r>
      <w:proofErr w:type="spellStart"/>
      <w:r w:rsidRPr="00873218">
        <w:t>профилизации</w:t>
      </w:r>
      <w:proofErr w:type="spellEnd"/>
      <w:r w:rsidRPr="00873218">
        <w:t xml:space="preserve"> обучения на старшей ступени ставит старшеклассника перед необходимостью совершения ответственного выбора - предварительного самоопределения в отношении профилирующего направления собственной деятельности.</w:t>
      </w:r>
    </w:p>
    <w:p w:rsidR="00E240EE" w:rsidRPr="00873218" w:rsidRDefault="00E240EE" w:rsidP="00E240EE">
      <w:pPr>
        <w:ind w:firstLine="709"/>
        <w:jc w:val="both"/>
      </w:pPr>
      <w:r w:rsidRPr="00873218">
        <w:t>Базовые учебные предметы направлены на завершение общеобразовательной подготовки обучающихся. Профильные учебные предметы - на специализацию каждого конкретного профиля обучения.</w:t>
      </w:r>
    </w:p>
    <w:p w:rsidR="00CB3437" w:rsidRDefault="00E240EE" w:rsidP="00E240EE">
      <w:pPr>
        <w:ind w:firstLine="709"/>
        <w:jc w:val="both"/>
      </w:pPr>
      <w:r w:rsidRPr="00873218">
        <w:t>Элективные учебные предметы - обязательные учебные предметы по выбору учащихся из компонента образовательного учреждения</w:t>
      </w:r>
      <w:bookmarkStart w:id="0" w:name="bookmark25"/>
      <w:r w:rsidR="00CB3437">
        <w:t>.</w:t>
      </w:r>
    </w:p>
    <w:p w:rsidR="00E240EE" w:rsidRDefault="00415C7C" w:rsidP="00E240EE">
      <w:pPr>
        <w:ind w:firstLine="709"/>
        <w:jc w:val="both"/>
      </w:pPr>
      <w:r>
        <w:t>В 11</w:t>
      </w:r>
      <w:r w:rsidR="00E240EE">
        <w:t xml:space="preserve"> классе информационно-технологический</w:t>
      </w:r>
      <w:r w:rsidR="004F51AF">
        <w:t xml:space="preserve"> профиль</w:t>
      </w:r>
      <w:r w:rsidR="00E240EE">
        <w:t>.</w:t>
      </w:r>
    </w:p>
    <w:p w:rsidR="00E240EE" w:rsidRPr="00873218" w:rsidRDefault="00415C7C" w:rsidP="00E240EE">
      <w:pPr>
        <w:ind w:firstLine="709"/>
        <w:jc w:val="both"/>
      </w:pPr>
      <w:r>
        <w:t>С</w:t>
      </w:r>
      <w:r w:rsidR="00E240EE" w:rsidRPr="00873218">
        <w:t xml:space="preserve">ледующие предметы изучаются на профильном уровне: </w:t>
      </w:r>
      <w:r w:rsidR="00E240EE">
        <w:t>математика- 6 часов, информатика и ИКТ- 4 часа.</w:t>
      </w:r>
    </w:p>
    <w:p w:rsidR="00E240EE" w:rsidRPr="00873218" w:rsidRDefault="00E240EE" w:rsidP="00E240EE">
      <w:pPr>
        <w:ind w:firstLine="709"/>
        <w:jc w:val="both"/>
      </w:pPr>
      <w:r w:rsidRPr="00873218">
        <w:t xml:space="preserve">Интегрированный предмет «Естествознание» изучается в виде самостоятельных учебных предметов: </w:t>
      </w:r>
      <w:proofErr w:type="gramStart"/>
      <w:r w:rsidRPr="00873218">
        <w:t>«Физика» - 2 часа в неделю, «</w:t>
      </w:r>
      <w:r>
        <w:t xml:space="preserve">Химия» - 1 час, «Биология» - 1 </w:t>
      </w:r>
      <w:r w:rsidR="004F51AF">
        <w:t>час</w:t>
      </w:r>
      <w:r w:rsidR="004F51AF" w:rsidRPr="00873218">
        <w:t>, «</w:t>
      </w:r>
      <w:r w:rsidRPr="00873218">
        <w:t xml:space="preserve">География» - 1 час. </w:t>
      </w:r>
      <w:proofErr w:type="gramEnd"/>
    </w:p>
    <w:p w:rsidR="00E240EE" w:rsidRPr="007F0B21" w:rsidRDefault="00E240EE" w:rsidP="00E240EE">
      <w:pPr>
        <w:ind w:firstLine="709"/>
        <w:jc w:val="both"/>
      </w:pPr>
      <w:r w:rsidRPr="00873218">
        <w:t>Элективными учебными предмет</w:t>
      </w:r>
      <w:r>
        <w:t>ами</w:t>
      </w:r>
      <w:r w:rsidR="00415C7C">
        <w:t xml:space="preserve"> в 11</w:t>
      </w:r>
      <w:r>
        <w:t xml:space="preserve"> классе</w:t>
      </w:r>
      <w:r w:rsidR="004F51AF">
        <w:t xml:space="preserve"> </w:t>
      </w:r>
      <w:r>
        <w:t xml:space="preserve">на информационно- технологическом профиле  </w:t>
      </w:r>
      <w:r w:rsidR="004F51AF">
        <w:t>являются</w:t>
      </w:r>
      <w:r>
        <w:t xml:space="preserve"> «От слова к тексту</w:t>
      </w:r>
      <w:r w:rsidRPr="00873218">
        <w:t>»,</w:t>
      </w:r>
      <w:r w:rsidR="00415C7C">
        <w:t xml:space="preserve"> </w:t>
      </w:r>
      <w:r w:rsidR="00CB3437">
        <w:t xml:space="preserve">«Комплексный анализ текста», </w:t>
      </w:r>
      <w:r w:rsidRPr="00873218">
        <w:t xml:space="preserve"> «</w:t>
      </w:r>
      <w:r>
        <w:t>Программирование</w:t>
      </w:r>
      <w:r w:rsidRPr="00873218">
        <w:t>»</w:t>
      </w:r>
    </w:p>
    <w:p w:rsidR="00E240EE" w:rsidRDefault="00E240EE" w:rsidP="00E240EE">
      <w:pPr>
        <w:ind w:firstLine="709"/>
        <w:jc w:val="both"/>
      </w:pPr>
      <w:r w:rsidRPr="00873218">
        <w:t>При проведении занятий иностранному языку, физической культуре, информатике и ИКТ, элективных курсов при наполняемости классов 25 учащихся и более осуществляется деление классов на подгруппы.</w:t>
      </w:r>
    </w:p>
    <w:bookmarkEnd w:id="0"/>
    <w:p w:rsidR="00E240EE" w:rsidRPr="00873218" w:rsidRDefault="00E240EE" w:rsidP="00E240EE">
      <w:pPr>
        <w:ind w:firstLine="709"/>
        <w:jc w:val="both"/>
      </w:pPr>
      <w:r w:rsidRPr="00873218">
        <w:t>При проведении занятий иностранному языку, физической культуре, информатике и ИКТ, элективных курсов при наполняемости классов 25 учащихся и более осуществляется деление классов на подгруппы.</w:t>
      </w:r>
    </w:p>
    <w:p w:rsidR="00CB3437" w:rsidRDefault="00CB3437" w:rsidP="00E240EE">
      <w:pPr>
        <w:jc w:val="both"/>
        <w:rPr>
          <w:b/>
          <w:bCs/>
        </w:rPr>
      </w:pPr>
    </w:p>
    <w:p w:rsidR="00CB3437" w:rsidRDefault="00CB3437" w:rsidP="00E240EE">
      <w:pPr>
        <w:jc w:val="both"/>
        <w:rPr>
          <w:b/>
          <w:bCs/>
        </w:rPr>
      </w:pPr>
    </w:p>
    <w:p w:rsidR="00415C7C" w:rsidRDefault="00415C7C" w:rsidP="00E240EE">
      <w:pPr>
        <w:jc w:val="both"/>
        <w:rPr>
          <w:b/>
          <w:bCs/>
        </w:rPr>
      </w:pPr>
    </w:p>
    <w:p w:rsidR="00E240EE" w:rsidRDefault="00E240EE" w:rsidP="00E240EE">
      <w:pPr>
        <w:jc w:val="both"/>
        <w:rPr>
          <w:b/>
          <w:bCs/>
        </w:rPr>
      </w:pPr>
    </w:p>
    <w:p w:rsidR="00E240EE" w:rsidRDefault="00415C7C" w:rsidP="00E240EE">
      <w:pPr>
        <w:jc w:val="center"/>
        <w:rPr>
          <w:b/>
        </w:rPr>
      </w:pPr>
      <w:r>
        <w:rPr>
          <w:b/>
        </w:rPr>
        <w:lastRenderedPageBreak/>
        <w:t>Учебный план 11</w:t>
      </w:r>
      <w:r w:rsidR="008C793D">
        <w:rPr>
          <w:b/>
        </w:rPr>
        <w:t>А</w:t>
      </w:r>
      <w:r w:rsidR="00E240EE">
        <w:rPr>
          <w:b/>
        </w:rPr>
        <w:t xml:space="preserve"> класса </w:t>
      </w:r>
      <w:r w:rsidR="00E240EE" w:rsidRPr="009845B7">
        <w:rPr>
          <w:b/>
        </w:rPr>
        <w:t>с недельным количеством часов и</w:t>
      </w:r>
    </w:p>
    <w:p w:rsidR="00E240EE" w:rsidRPr="009845B7" w:rsidRDefault="00E240EE" w:rsidP="00E240EE">
      <w:pPr>
        <w:jc w:val="center"/>
        <w:rPr>
          <w:b/>
        </w:rPr>
      </w:pPr>
      <w:r w:rsidRPr="009845B7">
        <w:rPr>
          <w:b/>
        </w:rPr>
        <w:t xml:space="preserve"> формами промежуточной аттестации (</w:t>
      </w:r>
      <w:r w:rsidR="004F51AF">
        <w:rPr>
          <w:b/>
        </w:rPr>
        <w:t>информационно-технологический профиль)</w:t>
      </w:r>
      <w:r w:rsidRPr="009845B7">
        <w:rPr>
          <w:b/>
        </w:rPr>
        <w:t>.</w:t>
      </w:r>
    </w:p>
    <w:tbl>
      <w:tblPr>
        <w:tblpPr w:leftFromText="180" w:rightFromText="180" w:vertAnchor="text" w:horzAnchor="margin" w:tblpY="15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5"/>
        <w:gridCol w:w="3049"/>
        <w:gridCol w:w="2835"/>
      </w:tblGrid>
      <w:tr w:rsidR="004F51AF" w:rsidTr="004F51AF">
        <w:trPr>
          <w:trHeight w:val="69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Учебные предметы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промежуточной аттестации</w:t>
            </w:r>
          </w:p>
        </w:tc>
      </w:tr>
      <w:tr w:rsidR="004F51AF" w:rsidTr="004F51AF">
        <w:trPr>
          <w:trHeight w:val="4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Базовые учебные предметы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Pr="008F56D6" w:rsidRDefault="004F51AF" w:rsidP="003A3D9A">
            <w:pPr>
              <w:tabs>
                <w:tab w:val="left" w:pos="2304"/>
              </w:tabs>
              <w:jc w:val="center"/>
              <w:rPr>
                <w:b/>
                <w:sz w:val="20"/>
                <w:szCs w:val="20"/>
              </w:rPr>
            </w:pPr>
            <w:r w:rsidRPr="008F56D6">
              <w:rPr>
                <w:b/>
                <w:sz w:val="20"/>
                <w:szCs w:val="20"/>
              </w:rPr>
              <w:t>2</w:t>
            </w:r>
            <w:r w:rsidR="00415C7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</w:p>
        </w:tc>
      </w:tr>
      <w:tr w:rsidR="004F51AF" w:rsidTr="00415C7C">
        <w:trPr>
          <w:trHeight w:val="4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ГОУ</w:t>
            </w:r>
            <w:r>
              <w:t>*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 w:rsidRPr="005D7EF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15C7C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1AF" w:rsidRPr="005D7EFA" w:rsidRDefault="004F51AF" w:rsidP="003A3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 w:rsidRPr="000741DB">
              <w:rPr>
                <w:sz w:val="20"/>
                <w:szCs w:val="20"/>
              </w:rPr>
              <w:t>ГОУ</w:t>
            </w: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 w:rsidRPr="000741DB">
              <w:rPr>
                <w:sz w:val="20"/>
                <w:szCs w:val="20"/>
              </w:rPr>
              <w:t>ГОУ</w:t>
            </w: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Профильные учебные предметы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Pr="008F56D6" w:rsidRDefault="004F51AF" w:rsidP="003A3D9A">
            <w:pPr>
              <w:tabs>
                <w:tab w:val="left" w:pos="2304"/>
              </w:tabs>
              <w:jc w:val="center"/>
              <w:rPr>
                <w:b/>
                <w:sz w:val="20"/>
                <w:szCs w:val="20"/>
              </w:rPr>
            </w:pPr>
            <w:r w:rsidRPr="008F56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F51AF">
        <w:trPr>
          <w:trHeight w:val="25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и ИКТ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jc w:val="center"/>
            </w:pPr>
            <w:r w:rsidRPr="006A05E4">
              <w:rPr>
                <w:sz w:val="20"/>
                <w:szCs w:val="20"/>
              </w:rPr>
              <w:t>ГОУ</w:t>
            </w: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t>Национально-региональный компонент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Pr="004D2144" w:rsidRDefault="004F51AF" w:rsidP="003A3D9A">
            <w:pPr>
              <w:tabs>
                <w:tab w:val="left" w:pos="2304"/>
              </w:tabs>
              <w:jc w:val="center"/>
              <w:rPr>
                <w:b/>
                <w:sz w:val="20"/>
                <w:szCs w:val="20"/>
              </w:rPr>
            </w:pPr>
            <w:r w:rsidRPr="004D21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CB3437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Элективные учебные предметы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Pr="008F56D6" w:rsidRDefault="008510D8" w:rsidP="003A3D9A">
            <w:pPr>
              <w:tabs>
                <w:tab w:val="left" w:pos="23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</w:p>
        </w:tc>
      </w:tr>
      <w:tr w:rsidR="004F51AF" w:rsidTr="00415C7C">
        <w:trPr>
          <w:trHeight w:val="31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слова к тексту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15C7C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C" w:rsidRDefault="00CB3437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C" w:rsidRDefault="008510D8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7C" w:rsidRDefault="00415C7C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Программирование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</w:t>
            </w:r>
          </w:p>
        </w:tc>
      </w:tr>
      <w:tr w:rsidR="004F51AF" w:rsidTr="004F51A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F" w:rsidRDefault="004F51AF" w:rsidP="003A3D9A">
            <w:pPr>
              <w:tabs>
                <w:tab w:val="left" w:pos="230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240EE" w:rsidRDefault="00E240EE" w:rsidP="00E240EE">
      <w:pPr>
        <w:tabs>
          <w:tab w:val="left" w:pos="5249"/>
        </w:tabs>
      </w:pPr>
      <w:r>
        <w:t xml:space="preserve">Условные обозначения и сокращения: </w:t>
      </w:r>
    </w:p>
    <w:p w:rsidR="00E240EE" w:rsidRDefault="00E240EE" w:rsidP="00E240EE">
      <w:pPr>
        <w:tabs>
          <w:tab w:val="left" w:pos="2304"/>
        </w:tabs>
        <w:jc w:val="both"/>
      </w:pPr>
      <w:r>
        <w:t xml:space="preserve">    *  ГОУ - годовая отметка успеваемости</w:t>
      </w:r>
    </w:p>
    <w:p w:rsidR="00E240EE" w:rsidRPr="009845B7" w:rsidRDefault="00E240EE" w:rsidP="00E240EE"/>
    <w:p w:rsidR="00E240EE" w:rsidRDefault="00E240EE" w:rsidP="00E240EE"/>
    <w:p w:rsidR="00E240EE" w:rsidRPr="009845B7" w:rsidRDefault="00E240EE" w:rsidP="00E240EE"/>
    <w:p w:rsidR="00E240EE" w:rsidRDefault="00E240EE" w:rsidP="00E240EE"/>
    <w:p w:rsidR="00E240EE" w:rsidRDefault="00E240EE" w:rsidP="00E240EE"/>
    <w:p w:rsidR="00E240EE" w:rsidRDefault="00E240EE" w:rsidP="00E240EE"/>
    <w:p w:rsidR="00E240EE" w:rsidRDefault="00E240EE" w:rsidP="00E240EE"/>
    <w:p w:rsidR="00E240EE" w:rsidRDefault="00E240EE" w:rsidP="00E240EE"/>
    <w:p w:rsidR="004F51AF" w:rsidRDefault="004F51AF" w:rsidP="00E240EE"/>
    <w:p w:rsidR="004F51AF" w:rsidRDefault="004F51AF" w:rsidP="00E240EE"/>
    <w:p w:rsidR="004F51AF" w:rsidRDefault="004F51AF" w:rsidP="00E240EE"/>
    <w:p w:rsidR="004F51AF" w:rsidRDefault="004F51AF" w:rsidP="00E240EE"/>
    <w:p w:rsidR="004F51AF" w:rsidRDefault="004F51AF" w:rsidP="00E240EE"/>
    <w:p w:rsidR="004F51AF" w:rsidRDefault="004F51AF" w:rsidP="00E240EE"/>
    <w:p w:rsidR="004F51AF" w:rsidRDefault="004F51AF" w:rsidP="00E240EE"/>
    <w:p w:rsidR="004F51AF" w:rsidRDefault="004F51AF" w:rsidP="00E240EE"/>
    <w:p w:rsidR="00E240EE" w:rsidRDefault="00E240EE" w:rsidP="00E240EE"/>
    <w:sectPr w:rsidR="00E240EE" w:rsidSect="00D0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0EE"/>
    <w:rsid w:val="003A3D9A"/>
    <w:rsid w:val="00415C7C"/>
    <w:rsid w:val="004F51AF"/>
    <w:rsid w:val="008510D8"/>
    <w:rsid w:val="008C793D"/>
    <w:rsid w:val="008D03C1"/>
    <w:rsid w:val="009855DD"/>
    <w:rsid w:val="00AB4738"/>
    <w:rsid w:val="00B4471A"/>
    <w:rsid w:val="00CB3437"/>
    <w:rsid w:val="00D05337"/>
    <w:rsid w:val="00E2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0D8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8510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F8A5-90C0-4C79-A006-0C9D91CC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пользователь</cp:lastModifiedBy>
  <cp:revision>4</cp:revision>
  <cp:lastPrinted>2020-08-28T05:03:00Z</cp:lastPrinted>
  <dcterms:created xsi:type="dcterms:W3CDTF">2020-09-08T09:22:00Z</dcterms:created>
  <dcterms:modified xsi:type="dcterms:W3CDTF">2020-09-08T09:29:00Z</dcterms:modified>
</cp:coreProperties>
</file>